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1C" w:rsidRDefault="006B7C1C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67"/>
        <w:gridCol w:w="6654"/>
        <w:gridCol w:w="1409"/>
      </w:tblGrid>
      <w:tr w:rsidR="00B646A6" w:rsidRPr="00B646A6" w:rsidTr="00B646A6">
        <w:trPr>
          <w:trHeight w:val="1276"/>
        </w:trPr>
        <w:tc>
          <w:tcPr>
            <w:tcW w:w="1474" w:type="dxa"/>
            <w:hideMark/>
          </w:tcPr>
          <w:p w:rsidR="00B646A6" w:rsidRPr="00B646A6" w:rsidRDefault="00B646A6" w:rsidP="00B646A6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B646A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FDD6122" wp14:editId="6BC1DFB0">
                  <wp:extent cx="573405" cy="819150"/>
                  <wp:effectExtent l="0" t="0" r="0" b="0"/>
                  <wp:docPr id="1" name="Imagine 2" descr="http://smdoc/Doc/Documente/StemaNoua_Ro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http://smdoc/Doc/Documente/StemaNoua_Ro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vAlign w:val="center"/>
            <w:hideMark/>
          </w:tcPr>
          <w:p w:rsidR="00B646A6" w:rsidRPr="00B646A6" w:rsidRDefault="00B646A6" w:rsidP="00B646A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 w:rsidRPr="00B646A6"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  <w:t>ROMÂNIA</w:t>
            </w:r>
          </w:p>
          <w:p w:rsidR="00B646A6" w:rsidRPr="00B646A6" w:rsidRDefault="00B646A6" w:rsidP="00B646A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 w:rsidRPr="00B646A6"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  <w:t>JUDEŢUL CLUJ</w:t>
            </w:r>
          </w:p>
          <w:p w:rsidR="00B646A6" w:rsidRPr="00B646A6" w:rsidRDefault="00B646A6" w:rsidP="00B646A6">
            <w:pPr>
              <w:keepNext/>
              <w:spacing w:line="276" w:lineRule="auto"/>
              <w:jc w:val="center"/>
              <w:outlineLvl w:val="0"/>
              <w:rPr>
                <w:rFonts w:ascii="Verdana" w:eastAsia="Calibri" w:hAnsi="Verdana" w:cs="Tahoma"/>
                <w:b/>
                <w:noProof/>
                <w:color w:val="333333"/>
                <w:szCs w:val="22"/>
                <w:lang w:eastAsia="en-US"/>
              </w:rPr>
            </w:pPr>
            <w:r w:rsidRPr="00B646A6">
              <w:rPr>
                <w:rFonts w:ascii="Times New Roman" w:eastAsia="Calibri" w:hAnsi="Times New Roman"/>
                <w:b/>
                <w:noProof/>
                <w:color w:val="333333"/>
                <w:sz w:val="28"/>
                <w:szCs w:val="22"/>
                <w:lang w:eastAsia="en-US"/>
              </w:rPr>
              <w:t>MUNICIPIUL DEJ</w:t>
            </w:r>
          </w:p>
        </w:tc>
        <w:tc>
          <w:tcPr>
            <w:tcW w:w="1417" w:type="dxa"/>
            <w:hideMark/>
          </w:tcPr>
          <w:p w:rsidR="00B646A6" w:rsidRPr="00B646A6" w:rsidRDefault="00B646A6" w:rsidP="00B646A6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B646A6">
              <w:rPr>
                <w:rFonts w:ascii="Tahoma" w:eastAsia="Calibri" w:hAnsi="Tahoma" w:cs="Tahoma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7AE44644" wp14:editId="7CEA114D">
                  <wp:extent cx="504825" cy="777875"/>
                  <wp:effectExtent l="0" t="0" r="9525" b="3175"/>
                  <wp:docPr id="2" name="Imagine 1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6A6" w:rsidRPr="00B646A6" w:rsidRDefault="00B646A6" w:rsidP="00B646A6">
      <w:pPr>
        <w:pBdr>
          <w:bottom w:val="single" w:sz="12" w:space="1" w:color="auto"/>
        </w:pBdr>
        <w:jc w:val="center"/>
        <w:rPr>
          <w:rFonts w:ascii="Times New Roman" w:hAnsi="Times New Roman"/>
          <w:color w:val="333333"/>
          <w:sz w:val="20"/>
        </w:rPr>
      </w:pPr>
      <w:r w:rsidRPr="00B646A6">
        <w:rPr>
          <w:rFonts w:ascii="Times New Roman" w:hAnsi="Times New Roman"/>
          <w:color w:val="333333"/>
          <w:sz w:val="20"/>
        </w:rPr>
        <w:t xml:space="preserve">Str. 1 Mai nr. 2, Tel.: 0264/211790*, Fax 0264/212388, E-mail: </w:t>
      </w:r>
      <w:hyperlink r:id="rId9" w:history="1">
        <w:r w:rsidRPr="00B646A6">
          <w:rPr>
            <w:rFonts w:ascii="Times New Roman" w:hAnsi="Times New Roman"/>
            <w:color w:val="333333"/>
            <w:sz w:val="20"/>
            <w:u w:val="single"/>
          </w:rPr>
          <w:t>primaria@dej.ro</w:t>
        </w:r>
      </w:hyperlink>
    </w:p>
    <w:p w:rsidR="00B646A6" w:rsidRPr="00B646A6" w:rsidRDefault="00B646A6" w:rsidP="00B646A6">
      <w:pPr>
        <w:rPr>
          <w:rFonts w:ascii="Times New Roman" w:hAnsi="Times New Roman"/>
        </w:rPr>
      </w:pPr>
      <w:r w:rsidRPr="00B646A6">
        <w:rPr>
          <w:rFonts w:ascii="Times New Roman" w:hAnsi="Times New Roman"/>
        </w:rPr>
        <w:t xml:space="preserve"> </w:t>
      </w:r>
    </w:p>
    <w:p w:rsidR="00B646A6" w:rsidRPr="00B646A6" w:rsidRDefault="00B646A6" w:rsidP="00B646A6">
      <w:pPr>
        <w:rPr>
          <w:rFonts w:ascii="Times New Roman" w:hAnsi="Times New Roman"/>
          <w:b/>
          <w:szCs w:val="24"/>
        </w:rPr>
      </w:pP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A409D9">
        <w:rPr>
          <w:rFonts w:ascii="Times New Roman" w:hAnsi="Times New Roman"/>
          <w:b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Cs w:val="24"/>
        </w:rPr>
        <w:t>ANEXA 4</w:t>
      </w:r>
    </w:p>
    <w:p w:rsidR="00B646A6" w:rsidRPr="00B646A6" w:rsidRDefault="00A409D9" w:rsidP="00B646A6">
      <w:pPr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SERVICIUL IMPOZITE ȘI TAXE</w:t>
      </w:r>
    </w:p>
    <w:p w:rsidR="00B646A6" w:rsidRPr="00B646A6" w:rsidRDefault="00B646A6" w:rsidP="00B646A6">
      <w:pPr>
        <w:ind w:left="720"/>
        <w:jc w:val="both"/>
        <w:rPr>
          <w:rFonts w:ascii="Times New Roman" w:hAnsi="Times New Roman"/>
          <w:szCs w:val="24"/>
          <w:lang w:val="en-US"/>
        </w:rPr>
      </w:pPr>
    </w:p>
    <w:p w:rsidR="00B646A6" w:rsidRPr="00B646A6" w:rsidRDefault="00B646A6" w:rsidP="00B646A6">
      <w:pPr>
        <w:ind w:left="720"/>
        <w:jc w:val="both"/>
        <w:rPr>
          <w:rFonts w:ascii="Times New Roman" w:hAnsi="Times New Roman"/>
          <w:szCs w:val="24"/>
          <w:lang w:val="en-US"/>
        </w:rPr>
      </w:pPr>
    </w:p>
    <w:p w:rsidR="00B646A6" w:rsidRPr="00B646A6" w:rsidRDefault="00B646A6" w:rsidP="00B646A6">
      <w:pPr>
        <w:rPr>
          <w:rFonts w:ascii="Times New Roman" w:hAnsi="Times New Roman"/>
          <w:b/>
          <w:szCs w:val="24"/>
        </w:rPr>
      </w:pP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  <w:t xml:space="preserve">          </w:t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  <w:t>APROBAT,</w:t>
      </w:r>
      <w:r w:rsidRPr="00B646A6">
        <w:rPr>
          <w:rFonts w:ascii="Times New Roman" w:hAnsi="Times New Roman"/>
          <w:b/>
          <w:szCs w:val="24"/>
        </w:rPr>
        <w:tab/>
      </w:r>
    </w:p>
    <w:p w:rsidR="00B646A6" w:rsidRPr="00B646A6" w:rsidRDefault="00A409D9" w:rsidP="00B646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</w:r>
      <w:r w:rsidR="00B646A6" w:rsidRPr="00B646A6">
        <w:rPr>
          <w:rFonts w:ascii="Times New Roman" w:hAnsi="Times New Roman"/>
          <w:b/>
          <w:szCs w:val="24"/>
        </w:rPr>
        <w:tab/>
        <w:t xml:space="preserve"> PRIMAR</w:t>
      </w:r>
      <w:r w:rsidR="00B646A6" w:rsidRPr="00B646A6">
        <w:rPr>
          <w:rFonts w:ascii="Times New Roman" w:hAnsi="Times New Roman"/>
          <w:b/>
          <w:szCs w:val="24"/>
        </w:rPr>
        <w:tab/>
      </w:r>
    </w:p>
    <w:p w:rsidR="00B646A6" w:rsidRPr="00B646A6" w:rsidRDefault="00B646A6" w:rsidP="00B646A6">
      <w:pPr>
        <w:rPr>
          <w:rFonts w:ascii="Times New Roman" w:hAnsi="Times New Roman"/>
          <w:b/>
          <w:szCs w:val="24"/>
        </w:rPr>
      </w:pP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</w:r>
      <w:r w:rsidRPr="00B646A6">
        <w:rPr>
          <w:rFonts w:ascii="Times New Roman" w:hAnsi="Times New Roman"/>
          <w:b/>
          <w:szCs w:val="24"/>
        </w:rPr>
        <w:tab/>
        <w:t xml:space="preserve">            Ing.  MORAR COSTAN</w:t>
      </w:r>
    </w:p>
    <w:p w:rsidR="00B646A6" w:rsidRPr="00B646A6" w:rsidRDefault="00B646A6" w:rsidP="00B646A6">
      <w:pPr>
        <w:rPr>
          <w:rFonts w:ascii="Times New Roman" w:hAnsi="Times New Roman"/>
          <w:b/>
          <w:szCs w:val="24"/>
        </w:rPr>
      </w:pPr>
    </w:p>
    <w:p w:rsidR="006B7C1C" w:rsidRDefault="006B7C1C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</w:p>
    <w:p w:rsidR="006B7C1C" w:rsidRPr="00876D4C" w:rsidRDefault="006B7C1C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</w:p>
    <w:p w:rsidR="00E42367" w:rsidRPr="00C75B75" w:rsidRDefault="00BA2F21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B75">
        <w:rPr>
          <w:rFonts w:ascii="Times New Roman" w:hAnsi="Times New Roman"/>
          <w:b/>
          <w:sz w:val="28"/>
          <w:szCs w:val="28"/>
        </w:rPr>
        <w:t xml:space="preserve">PROCEDURA DE ACORDARE A FACILITĂŢILOR </w:t>
      </w:r>
    </w:p>
    <w:p w:rsidR="00662050" w:rsidRPr="00C75B75" w:rsidRDefault="00BA2F21" w:rsidP="00662050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B75">
        <w:rPr>
          <w:rFonts w:ascii="Times New Roman" w:hAnsi="Times New Roman"/>
          <w:b/>
          <w:sz w:val="28"/>
          <w:szCs w:val="28"/>
        </w:rPr>
        <w:t xml:space="preserve">FISCALE </w:t>
      </w:r>
      <w:r w:rsidR="00662050" w:rsidRPr="00C75B75">
        <w:rPr>
          <w:rFonts w:ascii="Times New Roman" w:hAnsi="Times New Roman"/>
          <w:b/>
          <w:sz w:val="28"/>
          <w:szCs w:val="28"/>
        </w:rPr>
        <w:t xml:space="preserve">ACORDATE DE CONSILIUL LOCAL LA </w:t>
      </w:r>
    </w:p>
    <w:p w:rsidR="006B7C1C" w:rsidRDefault="00662050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B75">
        <w:rPr>
          <w:rFonts w:ascii="Times New Roman" w:hAnsi="Times New Roman"/>
          <w:b/>
          <w:sz w:val="28"/>
          <w:szCs w:val="28"/>
        </w:rPr>
        <w:t xml:space="preserve">LEGEA 227/2015 COD FISCAL   </w:t>
      </w:r>
    </w:p>
    <w:p w:rsidR="006B7C1C" w:rsidRDefault="006B7C1C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B7C1C" w:rsidRPr="00662050" w:rsidRDefault="006B7C1C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A2F21" w:rsidRDefault="00876D4C" w:rsidP="00876D4C">
      <w:pPr>
        <w:tabs>
          <w:tab w:val="left" w:pos="3465"/>
          <w:tab w:val="left" w:pos="4020"/>
        </w:tabs>
        <w:rPr>
          <w:rFonts w:ascii="Times New Roman" w:hAnsi="Times New Roman"/>
          <w:b/>
          <w:sz w:val="32"/>
          <w:szCs w:val="32"/>
        </w:rPr>
      </w:pPr>
      <w:r w:rsidRPr="00876D4C">
        <w:rPr>
          <w:rFonts w:ascii="Times New Roman" w:hAnsi="Times New Roman"/>
          <w:b/>
          <w:sz w:val="32"/>
          <w:szCs w:val="32"/>
        </w:rPr>
        <w:t xml:space="preserve">    Consili</w:t>
      </w:r>
      <w:r w:rsidR="00CC43F5">
        <w:rPr>
          <w:rFonts w:ascii="Times New Roman" w:hAnsi="Times New Roman"/>
          <w:b/>
          <w:sz w:val="32"/>
          <w:szCs w:val="32"/>
        </w:rPr>
        <w:t>ul</w:t>
      </w:r>
      <w:r w:rsidRPr="00876D4C">
        <w:rPr>
          <w:rFonts w:ascii="Times New Roman" w:hAnsi="Times New Roman"/>
          <w:b/>
          <w:sz w:val="32"/>
          <w:szCs w:val="32"/>
        </w:rPr>
        <w:t xml:space="preserve"> </w:t>
      </w:r>
      <w:r w:rsidR="00CC43F5">
        <w:rPr>
          <w:rFonts w:ascii="Times New Roman" w:hAnsi="Times New Roman"/>
          <w:b/>
          <w:sz w:val="32"/>
          <w:szCs w:val="32"/>
        </w:rPr>
        <w:t>L</w:t>
      </w:r>
      <w:r w:rsidRPr="00876D4C">
        <w:rPr>
          <w:rFonts w:ascii="Times New Roman" w:hAnsi="Times New Roman"/>
          <w:b/>
          <w:sz w:val="32"/>
          <w:szCs w:val="32"/>
        </w:rPr>
        <w:t>ocal  hotăr</w:t>
      </w:r>
      <w:r w:rsidR="00CC43F5">
        <w:rPr>
          <w:rFonts w:ascii="Times New Roman" w:hAnsi="Times New Roman"/>
          <w:b/>
          <w:sz w:val="32"/>
          <w:szCs w:val="32"/>
        </w:rPr>
        <w:t>ăște s</w:t>
      </w:r>
      <w:r w:rsidRPr="00876D4C">
        <w:rPr>
          <w:rFonts w:ascii="Times New Roman" w:hAnsi="Times New Roman"/>
          <w:b/>
          <w:sz w:val="32"/>
          <w:szCs w:val="32"/>
        </w:rPr>
        <w:t>ă acorde scutirea sau reducerea impozitului/taxei pe clădiri datorate pentru :</w:t>
      </w:r>
    </w:p>
    <w:p w:rsidR="006B7C1C" w:rsidRDefault="006B7C1C" w:rsidP="00876D4C">
      <w:pPr>
        <w:tabs>
          <w:tab w:val="left" w:pos="3465"/>
          <w:tab w:val="left" w:pos="4020"/>
        </w:tabs>
        <w:rPr>
          <w:rFonts w:ascii="Times New Roman" w:hAnsi="Times New Roman"/>
          <w:b/>
          <w:sz w:val="32"/>
          <w:szCs w:val="32"/>
        </w:rPr>
      </w:pPr>
    </w:p>
    <w:p w:rsidR="00145673" w:rsidRDefault="00876D4C" w:rsidP="00CB0F75">
      <w:pPr>
        <w:tabs>
          <w:tab w:val="left" w:pos="3465"/>
          <w:tab w:val="left" w:pos="40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876D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C43F5">
        <w:rPr>
          <w:rFonts w:ascii="Times New Roman" w:hAnsi="Times New Roman"/>
          <w:sz w:val="28"/>
          <w:szCs w:val="28"/>
          <w:lang w:val="en-US"/>
        </w:rPr>
        <w:t>Art.456</w:t>
      </w:r>
      <w:r w:rsidR="00C75B75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="00C81AFF">
        <w:rPr>
          <w:rFonts w:ascii="Times New Roman" w:hAnsi="Times New Roman"/>
          <w:sz w:val="28"/>
          <w:szCs w:val="28"/>
          <w:lang w:val="en-US"/>
        </w:rPr>
        <w:t>(2)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Consiliile locale pot hotărî să acorde scutirea sau reducerea impozitului/taxei pe clădiri datorate pentru următoarele clădiri: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a) clădirile care, potrivit legii, sunt clasate ca monumente istorice, de arhitectură sau arheologice, muzee ori case memoriale, altele decât cele prevăzute la alin. (1) lit. x);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clădiri pentru care s-a instituit un regim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, altele decât monumentele istorice, amplasate în zone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ale monumentelor istorice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zonele construite protejate;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clădirile utilizate pentru furnizarea de servicii sociale de către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neguvernamentale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întreprinderi sociale ca furnizori de servicii sociale;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clădirile utilizate de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nonprofit folosite exclusiv pentru </w:t>
      </w:r>
      <w:proofErr w:type="spellStart"/>
      <w:r>
        <w:rPr>
          <w:rFonts w:ascii="Times New Roman" w:hAnsi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scop lucrativ;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clădirile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16</w:t>
      </w:r>
      <w:r>
        <w:rPr>
          <w:rFonts w:ascii="Times New Roman" w:hAnsi="Times New Roman"/>
          <w:sz w:val="28"/>
          <w:szCs w:val="28"/>
        </w:rPr>
        <w:t xml:space="preserve"> din Legea nr. 10/2001 privind regimul juridic al unor imobile preluate în mod abuziv în perioada 6 martie 1945 - 22 decembrie 1989,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pentru perioada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clădirile retrocedate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(10)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94/2000 privind retrocedarea unor bunuri imobile care au </w:t>
      </w:r>
      <w:proofErr w:type="spellStart"/>
      <w:r>
        <w:rPr>
          <w:rFonts w:ascii="Times New Roman" w:hAnsi="Times New Roman"/>
          <w:sz w:val="28"/>
          <w:szCs w:val="28"/>
        </w:rPr>
        <w:t>aparţinut</w:t>
      </w:r>
      <w:proofErr w:type="spellEnd"/>
      <w:r>
        <w:rPr>
          <w:rFonts w:ascii="Times New Roman" w:hAnsi="Times New Roman"/>
          <w:sz w:val="28"/>
          <w:szCs w:val="28"/>
        </w:rPr>
        <w:t xml:space="preserve"> cultelor religioase din România,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pentru perioada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g) clădirile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(5)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83/1999 privind restituirea unor bunuri imobile care au </w:t>
      </w:r>
      <w:proofErr w:type="spellStart"/>
      <w:r>
        <w:rPr>
          <w:rFonts w:ascii="Times New Roman" w:hAnsi="Times New Roman"/>
          <w:sz w:val="28"/>
          <w:szCs w:val="28"/>
        </w:rPr>
        <w:t>aparţinut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aparţinând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minorităţilor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din România, republicată, pentru perioada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clădirea nouă cu </w:t>
      </w:r>
      <w:proofErr w:type="spellStart"/>
      <w:r>
        <w:rPr>
          <w:rFonts w:ascii="Times New Roman" w:hAnsi="Times New Roman"/>
          <w:sz w:val="28"/>
          <w:szCs w:val="28"/>
        </w:rPr>
        <w:t>destinaţie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locuinţă</w:t>
      </w:r>
      <w:proofErr w:type="spellEnd"/>
      <w:r>
        <w:rPr>
          <w:rFonts w:ascii="Times New Roman" w:hAnsi="Times New Roman"/>
          <w:sz w:val="28"/>
          <w:szCs w:val="28"/>
        </w:rPr>
        <w:t xml:space="preserve">, realizată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locuinţei</w:t>
      </w:r>
      <w:proofErr w:type="spellEnd"/>
      <w:r>
        <w:rPr>
          <w:rFonts w:ascii="Times New Roman" w:hAnsi="Times New Roman"/>
          <w:sz w:val="28"/>
          <w:szCs w:val="28"/>
        </w:rPr>
        <w:t xml:space="preserve"> nr. 114/1996,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clădirea cu </w:t>
      </w:r>
      <w:proofErr w:type="spellStart"/>
      <w:r>
        <w:rPr>
          <w:rFonts w:ascii="Times New Roman" w:hAnsi="Times New Roman"/>
          <w:sz w:val="28"/>
          <w:szCs w:val="28"/>
        </w:rPr>
        <w:t>destinaţie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locuinţă</w:t>
      </w:r>
      <w:proofErr w:type="spellEnd"/>
      <w:r>
        <w:rPr>
          <w:rFonts w:ascii="Times New Roman" w:hAnsi="Times New Roman"/>
          <w:sz w:val="28"/>
          <w:szCs w:val="28"/>
        </w:rPr>
        <w:t xml:space="preserve">, realizată pe bază de credite, în conformitate cu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Guvernului nr. 19/1994</w:t>
      </w:r>
      <w:r>
        <w:rPr>
          <w:rFonts w:ascii="Times New Roman" w:hAnsi="Times New Roman"/>
          <w:sz w:val="28"/>
          <w:szCs w:val="28"/>
        </w:rPr>
        <w:t xml:space="preserve"> privind stimularea </w:t>
      </w:r>
      <w:proofErr w:type="spellStart"/>
      <w:r>
        <w:rPr>
          <w:rFonts w:ascii="Times New Roman" w:hAnsi="Times New Roman"/>
          <w:sz w:val="28"/>
          <w:szCs w:val="28"/>
        </w:rPr>
        <w:t>investiţiilor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pentru realizarea unor lucrări publice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locuinţe</w:t>
      </w:r>
      <w:proofErr w:type="spellEnd"/>
      <w:r>
        <w:rPr>
          <w:rFonts w:ascii="Times New Roman" w:hAnsi="Times New Roman"/>
          <w:sz w:val="28"/>
          <w:szCs w:val="28"/>
        </w:rPr>
        <w:t xml:space="preserve">, aprobată cu modificări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 prin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Legea nr. 82/1995</w:t>
      </w:r>
      <w:r>
        <w:rPr>
          <w:rFonts w:ascii="Times New Roman" w:hAnsi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ulterioare. În cazul înstrăinării clădirii, scutirea de impozit nu se aplică noului proprietar al acesteia;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i) clădirile afectate de </w:t>
      </w:r>
      <w:proofErr w:type="spellStart"/>
      <w:r>
        <w:rPr>
          <w:rFonts w:ascii="Times New Roman" w:hAnsi="Times New Roman"/>
          <w:sz w:val="28"/>
          <w:szCs w:val="28"/>
        </w:rPr>
        <w:t>calamităţi</w:t>
      </w:r>
      <w:proofErr w:type="spellEnd"/>
      <w:r>
        <w:rPr>
          <w:rFonts w:ascii="Times New Roman" w:hAnsi="Times New Roman"/>
          <w:sz w:val="28"/>
          <w:szCs w:val="28"/>
        </w:rPr>
        <w:t xml:space="preserve"> naturale, pentru o perioadă de până la 5 ani, începând cu 1 ianuarie a anului în care s-a produs evenimentul;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clădirea folosită ca domiciliu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/sau alte clădiri aflate în proprietatea sau coproprietatea persoanelor prevăzute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/>
          <w:sz w:val="28"/>
          <w:szCs w:val="28"/>
        </w:rPr>
        <w:t xml:space="preserve"> alin. (1) lit. b)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/>
          <w:sz w:val="28"/>
          <w:szCs w:val="28"/>
        </w:rPr>
        <w:t xml:space="preserve"> alin. (1) din Legea nr. 341/2004,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clădirea folosită ca domiciliu, aflată în proprietatea sau coproprietatea persoanelor ale căror venituri lunare sunt mai mici decât salariul minim brut pe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ori constau în exclusivitate din </w:t>
      </w:r>
      <w:proofErr w:type="spellStart"/>
      <w:r>
        <w:rPr>
          <w:rFonts w:ascii="Times New Roman" w:hAnsi="Times New Roman"/>
          <w:sz w:val="28"/>
          <w:szCs w:val="28"/>
        </w:rPr>
        <w:t>indemnizaţie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şomaj</w:t>
      </w:r>
      <w:proofErr w:type="spellEnd"/>
      <w:r>
        <w:rPr>
          <w:rFonts w:ascii="Times New Roman" w:hAnsi="Times New Roman"/>
          <w:sz w:val="28"/>
          <w:szCs w:val="28"/>
        </w:rPr>
        <w:t xml:space="preserve"> sau ajutor social;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clădirile aflate în proprietatea operatorilor economici,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elaborării unor scheme de ajutor de stat/de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având un obiectiv prevăzut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clădirile la care proprietarii au executat pe cheltuială proprie lucrări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</w:rPr>
        <w:t>creşterea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performanţei</w:t>
      </w:r>
      <w:proofErr w:type="spellEnd"/>
      <w:r>
        <w:rPr>
          <w:rFonts w:ascii="Times New Roman" w:hAnsi="Times New Roman"/>
          <w:sz w:val="28"/>
          <w:szCs w:val="28"/>
        </w:rPr>
        <w:t xml:space="preserve"> energetice, pe baza procesului-verbal de </w:t>
      </w:r>
      <w:proofErr w:type="spellStart"/>
      <w:r>
        <w:rPr>
          <w:rFonts w:ascii="Times New Roman" w:hAnsi="Times New Roman"/>
          <w:sz w:val="28"/>
          <w:szCs w:val="28"/>
        </w:rPr>
        <w:t>recepţie</w:t>
      </w:r>
      <w:proofErr w:type="spellEnd"/>
      <w:r>
        <w:rPr>
          <w:rFonts w:ascii="Times New Roman" w:hAnsi="Times New Roman"/>
          <w:sz w:val="28"/>
          <w:szCs w:val="28"/>
        </w:rPr>
        <w:t xml:space="preserve"> la terminarea lucrărilor, întocmit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legii, prin care se constată realizarea măsurilor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recomandate de către auditorul energetic în certificatul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energetică sau, după caz, în raportul de audit energetic, astfel cum este prevăzut în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a Guvernului nr. 18/2009</w:t>
      </w:r>
      <w:r>
        <w:rPr>
          <w:rFonts w:ascii="Times New Roman" w:hAnsi="Times New Roman"/>
          <w:sz w:val="28"/>
          <w:szCs w:val="28"/>
        </w:rPr>
        <w:t xml:space="preserve"> privind </w:t>
      </w:r>
      <w:proofErr w:type="spellStart"/>
      <w:r>
        <w:rPr>
          <w:rFonts w:ascii="Times New Roman" w:hAnsi="Times New Roman"/>
          <w:sz w:val="28"/>
          <w:szCs w:val="28"/>
        </w:rPr>
        <w:t>creşterea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performanţei</w:t>
      </w:r>
      <w:proofErr w:type="spellEnd"/>
      <w:r>
        <w:rPr>
          <w:rFonts w:ascii="Times New Roman" w:hAnsi="Times New Roman"/>
          <w:sz w:val="28"/>
          <w:szCs w:val="28"/>
        </w:rPr>
        <w:t xml:space="preserve"> energetice a blocurilor de </w:t>
      </w:r>
      <w:proofErr w:type="spellStart"/>
      <w:r>
        <w:rPr>
          <w:rFonts w:ascii="Times New Roman" w:hAnsi="Times New Roman"/>
          <w:sz w:val="28"/>
          <w:szCs w:val="28"/>
        </w:rPr>
        <w:t>locuinţe</w:t>
      </w:r>
      <w:proofErr w:type="spellEnd"/>
      <w:r>
        <w:rPr>
          <w:rFonts w:ascii="Times New Roman" w:hAnsi="Times New Roman"/>
          <w:sz w:val="28"/>
          <w:szCs w:val="28"/>
        </w:rPr>
        <w:t xml:space="preserve">, aprobată cu modificări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 prin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Legea nr. 158/2011</w:t>
      </w:r>
      <w:r>
        <w:rPr>
          <w:rFonts w:ascii="Times New Roman" w:hAnsi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clădirile unde au fost executate lucrări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Legii nr. 153/2011</w:t>
      </w:r>
      <w:r>
        <w:rPr>
          <w:rFonts w:ascii="Times New Roman" w:hAnsi="Times New Roman"/>
          <w:sz w:val="28"/>
          <w:szCs w:val="28"/>
        </w:rPr>
        <w:t xml:space="preserve"> privind măsuri de </w:t>
      </w:r>
      <w:proofErr w:type="spellStart"/>
      <w:r>
        <w:rPr>
          <w:rFonts w:ascii="Times New Roman" w:hAnsi="Times New Roman"/>
          <w:sz w:val="28"/>
          <w:szCs w:val="28"/>
        </w:rPr>
        <w:t>creştere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calităţii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arhitectural-ambientale a clădirilor,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clădirile persoanelor care domiciliază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locuiesc efectiv în unele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Munţii</w:t>
      </w:r>
      <w:proofErr w:type="spellEnd"/>
      <w:r>
        <w:rPr>
          <w:rFonts w:ascii="Times New Roman" w:hAnsi="Times New Roman"/>
          <w:sz w:val="28"/>
          <w:szCs w:val="28"/>
        </w:rPr>
        <w:t xml:space="preserve"> Apuseni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/>
          <w:sz w:val="28"/>
          <w:szCs w:val="28"/>
        </w:rPr>
        <w:t>Rezervaţia</w:t>
      </w:r>
      <w:proofErr w:type="spellEnd"/>
      <w:r>
        <w:rPr>
          <w:rFonts w:ascii="Times New Roman" w:hAnsi="Times New Roman"/>
          <w:sz w:val="28"/>
          <w:szCs w:val="28"/>
        </w:rPr>
        <w:t xml:space="preserve"> Biosferei "Delta Dunării", în conformitate cu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Guvernului nr. 27/1996</w:t>
      </w:r>
      <w:r>
        <w:rPr>
          <w:rFonts w:ascii="Times New Roman" w:hAnsi="Times New Roman"/>
          <w:sz w:val="28"/>
          <w:szCs w:val="28"/>
        </w:rPr>
        <w:t xml:space="preserve"> privind acordarea unor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persoanelor care domiciliază sau lucrează în unele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Munţii</w:t>
      </w:r>
      <w:proofErr w:type="spellEnd"/>
      <w:r>
        <w:rPr>
          <w:rFonts w:ascii="Times New Roman" w:hAnsi="Times New Roman"/>
          <w:sz w:val="28"/>
          <w:szCs w:val="28"/>
        </w:rPr>
        <w:t xml:space="preserve"> Apuseni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/>
          <w:sz w:val="28"/>
          <w:szCs w:val="28"/>
        </w:rPr>
        <w:t>Rezervaţia</w:t>
      </w:r>
      <w:proofErr w:type="spellEnd"/>
      <w:r>
        <w:rPr>
          <w:rFonts w:ascii="Times New Roman" w:hAnsi="Times New Roman"/>
          <w:sz w:val="28"/>
          <w:szCs w:val="28"/>
        </w:rPr>
        <w:t xml:space="preserve"> Biosferei "Delta Dunării", republicată, cu modificările ulterioare;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clădirile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cooperaţiile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consum sau </w:t>
      </w:r>
      <w:proofErr w:type="spellStart"/>
      <w:r>
        <w:rPr>
          <w:rFonts w:ascii="Times New Roman" w:hAnsi="Times New Roman"/>
          <w:sz w:val="28"/>
          <w:szCs w:val="28"/>
        </w:rPr>
        <w:t>meşteşugăreşti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societăţile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cooperative agricole,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elaborării unor scheme de ajutor de stat/de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având un obiectiv prevăzut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clădirile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asociaţiile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dezvoltare intercomunitară;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s) clădirile folosite pentru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sportive, inclusiv clădirile care asigură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funcţionarea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bazelor sportive.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Scutirea sau reducerea de la plata impozitului/taxei, stabilită conform alin. (2), se aplică începând cu data de 1 ianuarie a anului următor celui în care persoana depune documentele justificative.</w:t>
      </w:r>
    </w:p>
    <w:p w:rsidR="00C81AFF" w:rsidRDefault="00C81AFF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(3^1) Scutirea sau reducerea de la plata impozitului/taxei pentru clădirile prevăzute la alin. (2) lit. s) se aplică pentru toate clădirile de pe raza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administrativ-teritoriale, indiferent de proprietarul acestora.</w:t>
      </w:r>
    </w:p>
    <w:p w:rsidR="00C81AFF" w:rsidRDefault="00C81AFF" w:rsidP="00CB0F75">
      <w:pPr>
        <w:tabs>
          <w:tab w:val="left" w:pos="3465"/>
          <w:tab w:val="left" w:pos="402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7C1C" w:rsidRPr="00C75B75" w:rsidRDefault="006B7C1C" w:rsidP="00CB0F75">
      <w:pPr>
        <w:tabs>
          <w:tab w:val="left" w:pos="3465"/>
          <w:tab w:val="left" w:pos="4020"/>
        </w:tabs>
        <w:jc w:val="both"/>
        <w:rPr>
          <w:rFonts w:ascii="Times New Roman" w:hAnsi="Times New Roman"/>
          <w:sz w:val="28"/>
          <w:szCs w:val="28"/>
        </w:rPr>
      </w:pPr>
    </w:p>
    <w:p w:rsidR="00876D4C" w:rsidRDefault="00145673" w:rsidP="00CB0F75">
      <w:pPr>
        <w:tabs>
          <w:tab w:val="left" w:pos="3465"/>
          <w:tab w:val="left" w:pos="4020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Art. 464:</w:t>
      </w:r>
    </w:p>
    <w:p w:rsidR="000078A2" w:rsidRDefault="000078A2" w:rsidP="00CB0F75">
      <w:pPr>
        <w:tabs>
          <w:tab w:val="left" w:pos="3465"/>
          <w:tab w:val="left" w:pos="4020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(2)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terenul aferent clădirilor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16</w:t>
      </w:r>
      <w:r>
        <w:rPr>
          <w:rFonts w:ascii="Times New Roman" w:hAnsi="Times New Roman"/>
          <w:sz w:val="28"/>
          <w:szCs w:val="28"/>
        </w:rPr>
        <w:t xml:space="preserve"> din Legea nr. 10/2001,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 durata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terenul aferent clădirilor retrocedate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(10)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94/2000,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 durata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terenul aferent clădirilor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(5)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83/1999, republicată, pe durata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terenurile utilizate pentru furnizarea de servicii sociale de către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neguvernamentale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întreprinderi sociale ca furnizori de servicii sociale;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terenurile utilizate de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nonprofit folosite exclusiv pentru </w:t>
      </w:r>
      <w:proofErr w:type="spellStart"/>
      <w:r>
        <w:rPr>
          <w:rFonts w:ascii="Times New Roman" w:hAnsi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scop lucrativ;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terenurile </w:t>
      </w:r>
      <w:proofErr w:type="spellStart"/>
      <w:r>
        <w:rPr>
          <w:rFonts w:ascii="Times New Roman" w:hAnsi="Times New Roman"/>
          <w:sz w:val="28"/>
          <w:szCs w:val="28"/>
        </w:rPr>
        <w:t>aparţinând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folosite exclusiv pentru </w:t>
      </w:r>
      <w:proofErr w:type="spellStart"/>
      <w:r>
        <w:rPr>
          <w:rFonts w:ascii="Times New Roman" w:hAnsi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scop lucrativ;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terenurile afectate de </w:t>
      </w:r>
      <w:proofErr w:type="spellStart"/>
      <w:r>
        <w:rPr>
          <w:rFonts w:ascii="Times New Roman" w:hAnsi="Times New Roman"/>
          <w:sz w:val="28"/>
          <w:szCs w:val="28"/>
        </w:rPr>
        <w:t>calamităţi</w:t>
      </w:r>
      <w:proofErr w:type="spellEnd"/>
      <w:r>
        <w:rPr>
          <w:rFonts w:ascii="Times New Roman" w:hAnsi="Times New Roman"/>
          <w:sz w:val="28"/>
          <w:szCs w:val="28"/>
        </w:rPr>
        <w:t xml:space="preserve"> naturale, pentru o perioadă de până la 5 ani;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terenurile aferente clădirii de domiciliu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/sau alte terenuri aflate în proprietatea sau coproprietatea persoanelor prevăzute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/>
          <w:sz w:val="28"/>
          <w:szCs w:val="28"/>
        </w:rPr>
        <w:t xml:space="preserve"> alin. (1) lit. b)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/>
          <w:sz w:val="28"/>
          <w:szCs w:val="28"/>
        </w:rPr>
        <w:t xml:space="preserve"> alin. (1) din Legea nr. 341/2004,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i) terenurile, inclusiv zonele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protecţie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instituite, ocupate de clădirile clasate ca monumente istorice, de arhitectură sau arheologice, muzee ori case memoriale, altele decât cele prevăzute la </w:t>
      </w:r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art. 456</w:t>
      </w:r>
      <w:r>
        <w:rPr>
          <w:rFonts w:ascii="Times New Roman" w:hAnsi="Times New Roman"/>
          <w:i/>
          <w:iCs/>
          <w:sz w:val="28"/>
          <w:szCs w:val="28"/>
        </w:rPr>
        <w:t xml:space="preserve"> alin. (1) lit. x), cu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terenurilor care sunt folosite pentru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economice;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terenurile aflate în proprietatea persoanelor ale căror venituri lunare sunt mai mici decât salariul minim brut pe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ori constau în exclusivitate din </w:t>
      </w:r>
      <w:proofErr w:type="spellStart"/>
      <w:r>
        <w:rPr>
          <w:rFonts w:ascii="Times New Roman" w:hAnsi="Times New Roman"/>
          <w:sz w:val="28"/>
          <w:szCs w:val="28"/>
        </w:rPr>
        <w:t>indemnizaţie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şomaj</w:t>
      </w:r>
      <w:proofErr w:type="spellEnd"/>
      <w:r>
        <w:rPr>
          <w:rFonts w:ascii="Times New Roman" w:hAnsi="Times New Roman"/>
          <w:sz w:val="28"/>
          <w:szCs w:val="28"/>
        </w:rPr>
        <w:t xml:space="preserve"> sau ajutor social;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terenurile aflate în proprietatea operatorilor economici,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elaborării unor scheme de ajutor de stat/de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având un obiectiv prevăzut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terenurile din extravilan situate în situri arheologice înscrise în Repertoriul Arheologic </w:t>
      </w:r>
      <w:proofErr w:type="spellStart"/>
      <w:r>
        <w:rPr>
          <w:rFonts w:ascii="Times New Roman" w:hAnsi="Times New Roman"/>
          <w:sz w:val="28"/>
          <w:szCs w:val="28"/>
        </w:rPr>
        <w:t>Naţional</w:t>
      </w:r>
      <w:proofErr w:type="spellEnd"/>
      <w:r>
        <w:rPr>
          <w:rFonts w:ascii="Times New Roman" w:hAnsi="Times New Roman"/>
          <w:sz w:val="28"/>
          <w:szCs w:val="28"/>
        </w:rPr>
        <w:t xml:space="preserve"> folosite pentru </w:t>
      </w:r>
      <w:proofErr w:type="spellStart"/>
      <w:r>
        <w:rPr>
          <w:rFonts w:ascii="Times New Roman" w:hAnsi="Times New Roman"/>
          <w:sz w:val="28"/>
          <w:szCs w:val="28"/>
        </w:rPr>
        <w:t>păşunat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terenurile persoanelor care domiciliază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locuiesc efectiv în unele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Munţii</w:t>
      </w:r>
      <w:proofErr w:type="spellEnd"/>
      <w:r>
        <w:rPr>
          <w:rFonts w:ascii="Times New Roman" w:hAnsi="Times New Roman"/>
          <w:sz w:val="28"/>
          <w:szCs w:val="28"/>
        </w:rPr>
        <w:t xml:space="preserve"> Apuseni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/>
          <w:sz w:val="28"/>
          <w:szCs w:val="28"/>
        </w:rPr>
        <w:t>Rezervaţia</w:t>
      </w:r>
      <w:proofErr w:type="spellEnd"/>
      <w:r>
        <w:rPr>
          <w:rFonts w:ascii="Times New Roman" w:hAnsi="Times New Roman"/>
          <w:sz w:val="28"/>
          <w:szCs w:val="28"/>
        </w:rPr>
        <w:t xml:space="preserve"> Biosferei "Delta Dunării", în conformitate cu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Guvernului nr. 27/1996</w:t>
      </w:r>
      <w:r>
        <w:rPr>
          <w:rFonts w:ascii="Times New Roman" w:hAnsi="Times New Roman"/>
          <w:sz w:val="28"/>
          <w:szCs w:val="28"/>
        </w:rPr>
        <w:t>, republicată, cu modificările ulterioare;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terenurile extravilane situate în arii naturale protejate supuse unor </w:t>
      </w:r>
      <w:proofErr w:type="spellStart"/>
      <w:r>
        <w:rPr>
          <w:rFonts w:ascii="Times New Roman" w:hAnsi="Times New Roman"/>
          <w:sz w:val="28"/>
          <w:szCs w:val="28"/>
        </w:rPr>
        <w:t>restricţii</w:t>
      </w:r>
      <w:proofErr w:type="spellEnd"/>
      <w:r>
        <w:rPr>
          <w:rFonts w:ascii="Times New Roman" w:hAnsi="Times New Roman"/>
          <w:sz w:val="28"/>
          <w:szCs w:val="28"/>
        </w:rPr>
        <w:t xml:space="preserve"> de utilizare;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terenul situat în extravilanul </w:t>
      </w:r>
      <w:proofErr w:type="spellStart"/>
      <w:r>
        <w:rPr>
          <w:rFonts w:ascii="Times New Roman" w:hAnsi="Times New Roman"/>
          <w:sz w:val="28"/>
          <w:szCs w:val="28"/>
        </w:rPr>
        <w:t>localităţilor</w:t>
      </w:r>
      <w:proofErr w:type="spellEnd"/>
      <w:r>
        <w:rPr>
          <w:rFonts w:ascii="Times New Roman" w:hAnsi="Times New Roman"/>
          <w:sz w:val="28"/>
          <w:szCs w:val="28"/>
        </w:rPr>
        <w:t>, pe o perioadă de 5 ani ulteriori celui în care proprietarul efectuează intabularea în cartea funciară pe cheltuială proprie;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</w:t>
      </w:r>
      <w:proofErr w:type="spellStart"/>
      <w:r>
        <w:rPr>
          <w:rFonts w:ascii="Times New Roman" w:hAnsi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/>
          <w:sz w:val="28"/>
          <w:szCs w:val="28"/>
        </w:rPr>
        <w:t xml:space="preserve"> neconstruite ale terenurilor cu regim de monument istoric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protejate;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q) terenurile, situate în zonele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ale monumentelor istorice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zonele protejate;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</w:t>
      </w:r>
      <w:proofErr w:type="spellStart"/>
      <w:r>
        <w:rPr>
          <w:rFonts w:ascii="Times New Roman" w:hAnsi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/>
          <w:sz w:val="28"/>
          <w:szCs w:val="28"/>
        </w:rPr>
        <w:t xml:space="preserve"> terenurilor afectate de cercetările arheologice, pe întreaga durată a efectuării cercetărilor;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s) potrivit legii, consiliile locale pot reduce impozitul pe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suprafeţele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neconstruite ale terenurilor cu regim de monument istoric, în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suprafaţa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afectată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perioada punerii monumentelor istorice la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dispoziţia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publicului pentru vizitare, precum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instituţiilor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specializate pentru cercetare.</w:t>
      </w:r>
    </w:p>
    <w:p w:rsidR="000078A2" w:rsidRDefault="000078A2" w:rsidP="00CB0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Scutirea sau reducerea de la plata impozitului/taxei, stabilită conform alin. (2), se aplică începând cu data de 1 ianuarie a anului următor celui în care persoana depune documentele justificative.</w:t>
      </w:r>
    </w:p>
    <w:p w:rsidR="000078A2" w:rsidRPr="00145673" w:rsidRDefault="000078A2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</w:rPr>
      </w:pPr>
    </w:p>
    <w:p w:rsidR="00C63CB8" w:rsidRPr="00C63CB8" w:rsidRDefault="00492C28" w:rsidP="000078A2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  <w:r w:rsidRPr="00492C28"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</w:p>
    <w:p w:rsidR="000839A4" w:rsidRPr="000839A4" w:rsidRDefault="000839A4" w:rsidP="000839A4">
      <w:pPr>
        <w:rPr>
          <w:rFonts w:ascii="Times New Roman" w:hAnsi="Times New Roman"/>
          <w:b/>
          <w:szCs w:val="24"/>
          <w:lang w:eastAsia="en-US"/>
        </w:rPr>
      </w:pPr>
      <w:r w:rsidRPr="000839A4">
        <w:rPr>
          <w:rFonts w:ascii="Courier" w:hAnsi="Courier"/>
          <w:b/>
          <w:szCs w:val="24"/>
          <w:lang w:eastAsia="en-US"/>
        </w:rPr>
        <w:t xml:space="preserve">    </w:t>
      </w:r>
      <w:r w:rsidRPr="000839A4">
        <w:rPr>
          <w:rFonts w:ascii="Times New Roman" w:hAnsi="Times New Roman"/>
          <w:b/>
          <w:szCs w:val="24"/>
          <w:lang w:eastAsia="en-US"/>
        </w:rPr>
        <w:tab/>
      </w:r>
      <w:r w:rsidRPr="000839A4">
        <w:rPr>
          <w:rFonts w:ascii="Times New Roman" w:hAnsi="Times New Roman"/>
          <w:b/>
          <w:szCs w:val="24"/>
          <w:lang w:eastAsia="en-US"/>
        </w:rPr>
        <w:tab/>
      </w:r>
      <w:r w:rsidRPr="000839A4">
        <w:rPr>
          <w:rFonts w:ascii="Times New Roman" w:hAnsi="Times New Roman"/>
          <w:b/>
          <w:szCs w:val="24"/>
          <w:lang w:eastAsia="en-US"/>
        </w:rPr>
        <w:tab/>
      </w:r>
      <w:r w:rsidRPr="000839A4">
        <w:rPr>
          <w:rFonts w:ascii="Times New Roman" w:hAnsi="Times New Roman"/>
          <w:b/>
          <w:szCs w:val="24"/>
          <w:lang w:eastAsia="en-US"/>
        </w:rPr>
        <w:tab/>
        <w:t xml:space="preserve">  </w:t>
      </w:r>
      <w:r w:rsidR="000E12F8">
        <w:rPr>
          <w:rFonts w:ascii="Times New Roman" w:hAnsi="Times New Roman"/>
          <w:b/>
          <w:szCs w:val="24"/>
          <w:lang w:eastAsia="en-US"/>
        </w:rPr>
        <w:t xml:space="preserve">                  </w:t>
      </w:r>
      <w:bookmarkStart w:id="0" w:name="_GoBack"/>
      <w:bookmarkEnd w:id="0"/>
      <w:r w:rsidR="000E12F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0E12F8">
        <w:rPr>
          <w:rFonts w:ascii="Times New Roman" w:hAnsi="Times New Roman"/>
          <w:b/>
          <w:szCs w:val="24"/>
          <w:lang w:eastAsia="en-US"/>
        </w:rPr>
        <w:t>Sef</w:t>
      </w:r>
      <w:proofErr w:type="spellEnd"/>
      <w:r w:rsidR="000E12F8">
        <w:rPr>
          <w:rFonts w:ascii="Times New Roman" w:hAnsi="Times New Roman"/>
          <w:b/>
          <w:szCs w:val="24"/>
          <w:lang w:eastAsia="en-US"/>
        </w:rPr>
        <w:t xml:space="preserve"> Serviciu </w:t>
      </w:r>
    </w:p>
    <w:p w:rsidR="000839A4" w:rsidRPr="000839A4" w:rsidRDefault="000839A4" w:rsidP="000839A4">
      <w:pPr>
        <w:rPr>
          <w:rFonts w:ascii="Times New Roman" w:hAnsi="Times New Roman"/>
          <w:b/>
          <w:sz w:val="32"/>
          <w:szCs w:val="32"/>
        </w:rPr>
      </w:pPr>
      <w:r w:rsidRPr="000839A4">
        <w:rPr>
          <w:rFonts w:ascii="Times New Roman" w:hAnsi="Times New Roman"/>
          <w:b/>
          <w:szCs w:val="24"/>
          <w:lang w:eastAsia="en-US"/>
        </w:rPr>
        <w:t xml:space="preserve">               </w:t>
      </w:r>
      <w:r w:rsidR="00855434">
        <w:rPr>
          <w:rFonts w:ascii="Times New Roman" w:hAnsi="Times New Roman"/>
          <w:b/>
          <w:szCs w:val="24"/>
          <w:lang w:eastAsia="en-US"/>
        </w:rPr>
        <w:t xml:space="preserve">              </w:t>
      </w:r>
      <w:r w:rsidR="00855434">
        <w:rPr>
          <w:rFonts w:ascii="Times New Roman" w:hAnsi="Times New Roman"/>
          <w:b/>
          <w:szCs w:val="24"/>
          <w:lang w:eastAsia="en-US"/>
        </w:rPr>
        <w:tab/>
      </w:r>
      <w:r w:rsidR="00855434">
        <w:rPr>
          <w:rFonts w:ascii="Times New Roman" w:hAnsi="Times New Roman"/>
          <w:b/>
          <w:szCs w:val="24"/>
          <w:lang w:eastAsia="en-US"/>
        </w:rPr>
        <w:tab/>
        <w:t xml:space="preserve">                 Ec.</w:t>
      </w:r>
      <w:r w:rsidRPr="000839A4">
        <w:rPr>
          <w:rFonts w:ascii="Times New Roman" w:hAnsi="Times New Roman"/>
          <w:b/>
          <w:szCs w:val="24"/>
          <w:lang w:eastAsia="en-US"/>
        </w:rPr>
        <w:t xml:space="preserve"> Marius Bogdan</w:t>
      </w:r>
    </w:p>
    <w:p w:rsidR="00C75B75" w:rsidRPr="00492C28" w:rsidRDefault="00C75B75" w:rsidP="00492C28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</w:p>
    <w:p w:rsidR="006B7C1C" w:rsidRDefault="006B7C1C" w:rsidP="000839A4">
      <w:pPr>
        <w:ind w:left="1416"/>
        <w:rPr>
          <w:rFonts w:ascii="Times New Roman" w:hAnsi="Times New Roman"/>
          <w:b/>
          <w:sz w:val="28"/>
          <w:szCs w:val="28"/>
        </w:rPr>
      </w:pPr>
    </w:p>
    <w:sectPr w:rsidR="006B7C1C" w:rsidSect="00B646A6">
      <w:footerReference w:type="default" r:id="rId10"/>
      <w:footerReference w:type="first" r:id="rId11"/>
      <w:pgSz w:w="11906" w:h="16838" w:code="9"/>
      <w:pgMar w:top="567" w:right="1134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79" w:rsidRDefault="00822779">
      <w:r>
        <w:separator/>
      </w:r>
    </w:p>
  </w:endnote>
  <w:endnote w:type="continuationSeparator" w:id="0">
    <w:p w:rsidR="00822779" w:rsidRDefault="008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F4" w:rsidRPr="00272CD7" w:rsidRDefault="00F264D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855434">
      <w:rPr>
        <w:rFonts w:ascii="Verdana" w:hAnsi="Verdana"/>
        <w:noProof/>
        <w:sz w:val="20"/>
      </w:rPr>
      <w:t>M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F4" w:rsidRPr="001813AD" w:rsidRDefault="00F264D2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noProof/>
        <w:color w:val="808080"/>
        <w:sz w:val="20"/>
        <w:lang w:val="en-US"/>
      </w:rPr>
      <w:fldChar w:fldCharType="begin"/>
    </w:r>
    <w:r>
      <w:rPr>
        <w:rFonts w:ascii="Verdana" w:hAnsi="Verdana"/>
        <w:noProof/>
        <w:color w:val="808080"/>
        <w:sz w:val="20"/>
        <w:lang w:val="en-US"/>
      </w:rPr>
      <w:instrText xml:space="preserve"> USERINITIALS  \* Upper  \* MERGEFORMAT </w:instrText>
    </w:r>
    <w:r>
      <w:rPr>
        <w:rFonts w:ascii="Verdana" w:hAnsi="Verdana"/>
        <w:noProof/>
        <w:color w:val="808080"/>
        <w:sz w:val="20"/>
        <w:lang w:val="en-US"/>
      </w:rPr>
      <w:fldChar w:fldCharType="separate"/>
    </w:r>
    <w:r w:rsidR="00855434">
      <w:rPr>
        <w:rFonts w:ascii="Verdana" w:hAnsi="Verdana"/>
        <w:noProof/>
        <w:color w:val="808080"/>
        <w:sz w:val="20"/>
        <w:lang w:val="en-US"/>
      </w:rPr>
      <w:t>M</w:t>
    </w:r>
    <w:r>
      <w:rPr>
        <w:rFonts w:ascii="Verdana" w:hAnsi="Verdana"/>
        <w:noProof/>
        <w:color w:val="808080"/>
        <w:sz w:val="20"/>
        <w:lang w:val="en-US"/>
      </w:rPr>
      <w:fldChar w:fldCharType="end"/>
    </w:r>
    <w:r w:rsidR="00722EF4">
      <w:rPr>
        <w:rFonts w:ascii="Verdana" w:hAnsi="Verdana"/>
        <w:color w:val="808080"/>
        <w:sz w:val="20"/>
        <w:lang w:val="en-US"/>
      </w:rPr>
      <w:t>/2ex</w:t>
    </w:r>
    <w:r w:rsidR="00722EF4" w:rsidRPr="001813AD">
      <w:rPr>
        <w:rFonts w:ascii="Verdana" w:hAnsi="Verdana"/>
        <w:color w:val="808080"/>
        <w:sz w:val="20"/>
        <w:lang w:val="en-US"/>
      </w:rPr>
      <w:tab/>
    </w:r>
    <w:r w:rsidR="00722EF4">
      <w:rPr>
        <w:rFonts w:ascii="Verdana" w:hAnsi="Verdana"/>
        <w:color w:val="808080"/>
        <w:sz w:val="20"/>
        <w:lang w:val="en-US"/>
      </w:rPr>
      <w:tab/>
    </w:r>
    <w:r w:rsidR="00722EF4">
      <w:rPr>
        <w:rFonts w:ascii="Verdana" w:hAnsi="Verdana"/>
        <w:color w:val="808080"/>
        <w:sz w:val="20"/>
        <w:lang w:val="en-US"/>
      </w:rPr>
      <w:tab/>
    </w:r>
    <w:r w:rsidR="00722EF4"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79" w:rsidRDefault="00822779">
      <w:r>
        <w:separator/>
      </w:r>
    </w:p>
  </w:footnote>
  <w:footnote w:type="continuationSeparator" w:id="0">
    <w:p w:rsidR="00822779" w:rsidRDefault="0082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7A2"/>
    <w:multiLevelType w:val="hybridMultilevel"/>
    <w:tmpl w:val="12E2E7FE"/>
    <w:lvl w:ilvl="0" w:tplc="9D86C4D8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2DA011A3"/>
    <w:multiLevelType w:val="hybridMultilevel"/>
    <w:tmpl w:val="2494B646"/>
    <w:lvl w:ilvl="0" w:tplc="96605A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16CD"/>
    <w:multiLevelType w:val="hybridMultilevel"/>
    <w:tmpl w:val="6598D520"/>
    <w:lvl w:ilvl="0" w:tplc="A1FE061A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8A2"/>
    <w:rsid w:val="00007F5F"/>
    <w:rsid w:val="000120BB"/>
    <w:rsid w:val="00022547"/>
    <w:rsid w:val="000245A9"/>
    <w:rsid w:val="00030636"/>
    <w:rsid w:val="000322B7"/>
    <w:rsid w:val="000526D5"/>
    <w:rsid w:val="0006251F"/>
    <w:rsid w:val="000839A4"/>
    <w:rsid w:val="000B4997"/>
    <w:rsid w:val="000C3C69"/>
    <w:rsid w:val="000E12F8"/>
    <w:rsid w:val="000F7194"/>
    <w:rsid w:val="00133A4F"/>
    <w:rsid w:val="00140190"/>
    <w:rsid w:val="00145673"/>
    <w:rsid w:val="00172579"/>
    <w:rsid w:val="0017733C"/>
    <w:rsid w:val="001813AD"/>
    <w:rsid w:val="00184ACD"/>
    <w:rsid w:val="00190C4C"/>
    <w:rsid w:val="00193B1C"/>
    <w:rsid w:val="001951CA"/>
    <w:rsid w:val="001A449E"/>
    <w:rsid w:val="001B4DA2"/>
    <w:rsid w:val="001C1F9E"/>
    <w:rsid w:val="001C2192"/>
    <w:rsid w:val="001F3C73"/>
    <w:rsid w:val="00202FE5"/>
    <w:rsid w:val="00204263"/>
    <w:rsid w:val="00247A16"/>
    <w:rsid w:val="002530A9"/>
    <w:rsid w:val="00272CD7"/>
    <w:rsid w:val="00276988"/>
    <w:rsid w:val="002867EA"/>
    <w:rsid w:val="002965E8"/>
    <w:rsid w:val="002C0DD5"/>
    <w:rsid w:val="002C33ED"/>
    <w:rsid w:val="002C463B"/>
    <w:rsid w:val="003048B5"/>
    <w:rsid w:val="003073AE"/>
    <w:rsid w:val="00321A8E"/>
    <w:rsid w:val="003510BB"/>
    <w:rsid w:val="00364ED3"/>
    <w:rsid w:val="003653D2"/>
    <w:rsid w:val="003729DC"/>
    <w:rsid w:val="00383297"/>
    <w:rsid w:val="00384C34"/>
    <w:rsid w:val="003B47C0"/>
    <w:rsid w:val="003C1810"/>
    <w:rsid w:val="003C66C9"/>
    <w:rsid w:val="003E6612"/>
    <w:rsid w:val="0040407F"/>
    <w:rsid w:val="00404098"/>
    <w:rsid w:val="004042BE"/>
    <w:rsid w:val="00405AD2"/>
    <w:rsid w:val="00407980"/>
    <w:rsid w:val="0041150A"/>
    <w:rsid w:val="00417628"/>
    <w:rsid w:val="00443C41"/>
    <w:rsid w:val="00446E73"/>
    <w:rsid w:val="00453C8C"/>
    <w:rsid w:val="00461597"/>
    <w:rsid w:val="00492C28"/>
    <w:rsid w:val="00493B67"/>
    <w:rsid w:val="004A239D"/>
    <w:rsid w:val="004A3E28"/>
    <w:rsid w:val="004B3609"/>
    <w:rsid w:val="004B4275"/>
    <w:rsid w:val="004B7B45"/>
    <w:rsid w:val="004C6942"/>
    <w:rsid w:val="004E6D80"/>
    <w:rsid w:val="005011AB"/>
    <w:rsid w:val="0051311E"/>
    <w:rsid w:val="00516792"/>
    <w:rsid w:val="0051796F"/>
    <w:rsid w:val="00536464"/>
    <w:rsid w:val="00536EF7"/>
    <w:rsid w:val="005431E2"/>
    <w:rsid w:val="005443AD"/>
    <w:rsid w:val="005812CC"/>
    <w:rsid w:val="005A005E"/>
    <w:rsid w:val="005B25FC"/>
    <w:rsid w:val="005B739C"/>
    <w:rsid w:val="005C7E95"/>
    <w:rsid w:val="005E3F11"/>
    <w:rsid w:val="006110FE"/>
    <w:rsid w:val="00662050"/>
    <w:rsid w:val="00662987"/>
    <w:rsid w:val="00665D27"/>
    <w:rsid w:val="00681BC5"/>
    <w:rsid w:val="006965DD"/>
    <w:rsid w:val="006B1270"/>
    <w:rsid w:val="006B7C1C"/>
    <w:rsid w:val="006C08DE"/>
    <w:rsid w:val="00711A10"/>
    <w:rsid w:val="007136ED"/>
    <w:rsid w:val="00722EF4"/>
    <w:rsid w:val="00751A0D"/>
    <w:rsid w:val="007579B3"/>
    <w:rsid w:val="00760175"/>
    <w:rsid w:val="00762A99"/>
    <w:rsid w:val="00762F0E"/>
    <w:rsid w:val="00790C0C"/>
    <w:rsid w:val="007A2FBC"/>
    <w:rsid w:val="007A5106"/>
    <w:rsid w:val="007A73AC"/>
    <w:rsid w:val="007B77D3"/>
    <w:rsid w:val="007C25BD"/>
    <w:rsid w:val="007C51AA"/>
    <w:rsid w:val="007C6EA1"/>
    <w:rsid w:val="007D4038"/>
    <w:rsid w:val="007D6154"/>
    <w:rsid w:val="007F0441"/>
    <w:rsid w:val="007F14C0"/>
    <w:rsid w:val="007F46C1"/>
    <w:rsid w:val="00803B61"/>
    <w:rsid w:val="008127D4"/>
    <w:rsid w:val="0081790C"/>
    <w:rsid w:val="00822779"/>
    <w:rsid w:val="00842046"/>
    <w:rsid w:val="0084586C"/>
    <w:rsid w:val="0085161B"/>
    <w:rsid w:val="00855434"/>
    <w:rsid w:val="00857E15"/>
    <w:rsid w:val="00864B17"/>
    <w:rsid w:val="008706D8"/>
    <w:rsid w:val="00876D4C"/>
    <w:rsid w:val="0088678A"/>
    <w:rsid w:val="00890093"/>
    <w:rsid w:val="008A0BA3"/>
    <w:rsid w:val="008B4349"/>
    <w:rsid w:val="008C04B7"/>
    <w:rsid w:val="008E362B"/>
    <w:rsid w:val="008E4170"/>
    <w:rsid w:val="00907631"/>
    <w:rsid w:val="009118E2"/>
    <w:rsid w:val="009169A8"/>
    <w:rsid w:val="00917D45"/>
    <w:rsid w:val="00923316"/>
    <w:rsid w:val="00923B39"/>
    <w:rsid w:val="00944B4E"/>
    <w:rsid w:val="00950F70"/>
    <w:rsid w:val="00954CD0"/>
    <w:rsid w:val="009552FC"/>
    <w:rsid w:val="0097098F"/>
    <w:rsid w:val="00992313"/>
    <w:rsid w:val="009940B6"/>
    <w:rsid w:val="009941C2"/>
    <w:rsid w:val="0099667B"/>
    <w:rsid w:val="009A375E"/>
    <w:rsid w:val="009A4085"/>
    <w:rsid w:val="009B3580"/>
    <w:rsid w:val="009C5E25"/>
    <w:rsid w:val="009C5F07"/>
    <w:rsid w:val="009D4FF7"/>
    <w:rsid w:val="009D5181"/>
    <w:rsid w:val="009D6884"/>
    <w:rsid w:val="00A06866"/>
    <w:rsid w:val="00A15646"/>
    <w:rsid w:val="00A409D9"/>
    <w:rsid w:val="00A451ED"/>
    <w:rsid w:val="00A85BAF"/>
    <w:rsid w:val="00A97112"/>
    <w:rsid w:val="00AA1B58"/>
    <w:rsid w:val="00AB30A4"/>
    <w:rsid w:val="00AB440E"/>
    <w:rsid w:val="00AB4CC2"/>
    <w:rsid w:val="00AC0984"/>
    <w:rsid w:val="00AD0120"/>
    <w:rsid w:val="00AE2507"/>
    <w:rsid w:val="00AF17FE"/>
    <w:rsid w:val="00B1374E"/>
    <w:rsid w:val="00B217DD"/>
    <w:rsid w:val="00B21A17"/>
    <w:rsid w:val="00B3709B"/>
    <w:rsid w:val="00B646A6"/>
    <w:rsid w:val="00B83337"/>
    <w:rsid w:val="00B90930"/>
    <w:rsid w:val="00BA2F21"/>
    <w:rsid w:val="00BA6AFE"/>
    <w:rsid w:val="00BE1AF4"/>
    <w:rsid w:val="00C007EC"/>
    <w:rsid w:val="00C16181"/>
    <w:rsid w:val="00C43389"/>
    <w:rsid w:val="00C50CA5"/>
    <w:rsid w:val="00C52FDB"/>
    <w:rsid w:val="00C553F0"/>
    <w:rsid w:val="00C617FE"/>
    <w:rsid w:val="00C63CB8"/>
    <w:rsid w:val="00C75B75"/>
    <w:rsid w:val="00C75BCC"/>
    <w:rsid w:val="00C75DE1"/>
    <w:rsid w:val="00C8188C"/>
    <w:rsid w:val="00C81AFF"/>
    <w:rsid w:val="00C82DB1"/>
    <w:rsid w:val="00C93EF6"/>
    <w:rsid w:val="00CA3B89"/>
    <w:rsid w:val="00CB0620"/>
    <w:rsid w:val="00CB0F75"/>
    <w:rsid w:val="00CB7C33"/>
    <w:rsid w:val="00CC43F5"/>
    <w:rsid w:val="00CE27C9"/>
    <w:rsid w:val="00CE6445"/>
    <w:rsid w:val="00CF7D6A"/>
    <w:rsid w:val="00D03D5F"/>
    <w:rsid w:val="00D16802"/>
    <w:rsid w:val="00D36E34"/>
    <w:rsid w:val="00D63709"/>
    <w:rsid w:val="00D746DC"/>
    <w:rsid w:val="00DA3F71"/>
    <w:rsid w:val="00DA682D"/>
    <w:rsid w:val="00DD1312"/>
    <w:rsid w:val="00DE59D6"/>
    <w:rsid w:val="00E2181A"/>
    <w:rsid w:val="00E3390F"/>
    <w:rsid w:val="00E42367"/>
    <w:rsid w:val="00E55A05"/>
    <w:rsid w:val="00E609AE"/>
    <w:rsid w:val="00E75ABE"/>
    <w:rsid w:val="00E90ABA"/>
    <w:rsid w:val="00E92C8E"/>
    <w:rsid w:val="00EB38BA"/>
    <w:rsid w:val="00EC16A8"/>
    <w:rsid w:val="00EC313F"/>
    <w:rsid w:val="00EC351B"/>
    <w:rsid w:val="00EC6134"/>
    <w:rsid w:val="00ED45C4"/>
    <w:rsid w:val="00ED739A"/>
    <w:rsid w:val="00F1449D"/>
    <w:rsid w:val="00F264D2"/>
    <w:rsid w:val="00F27622"/>
    <w:rsid w:val="00F43A9F"/>
    <w:rsid w:val="00F43D4F"/>
    <w:rsid w:val="00F4417B"/>
    <w:rsid w:val="00F4423C"/>
    <w:rsid w:val="00F44FF1"/>
    <w:rsid w:val="00F55F83"/>
    <w:rsid w:val="00F56248"/>
    <w:rsid w:val="00F61F03"/>
    <w:rsid w:val="00F64D2E"/>
    <w:rsid w:val="00FA79DB"/>
    <w:rsid w:val="00FB495D"/>
    <w:rsid w:val="00FB6E74"/>
    <w:rsid w:val="00FC6796"/>
    <w:rsid w:val="00FE1F4C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E365D-1F9D-40EE-82A9-77B53E6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43A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1416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9614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keywords/>
  <dc:description/>
  <cp:lastModifiedBy>Marius.Bogdan</cp:lastModifiedBy>
  <cp:revision>4</cp:revision>
  <cp:lastPrinted>2020-11-10T10:18:00Z</cp:lastPrinted>
  <dcterms:created xsi:type="dcterms:W3CDTF">2020-11-10T10:25:00Z</dcterms:created>
  <dcterms:modified xsi:type="dcterms:W3CDTF">2021-11-18T10:40:00Z</dcterms:modified>
</cp:coreProperties>
</file>